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C1" w:rsidRDefault="000B7BC1" w:rsidP="000B7BC1">
      <w:pPr>
        <w:pStyle w:val="PlainText"/>
        <w:jc w:val="center"/>
        <w:rPr>
          <w:rFonts w:ascii="Bell MT" w:hAnsi="Bell MT"/>
          <w:b/>
          <w:color w:val="1F4E79"/>
          <w:sz w:val="24"/>
          <w:szCs w:val="24"/>
        </w:rPr>
      </w:pPr>
      <w:r w:rsidRPr="000B7BC1">
        <w:rPr>
          <w:rFonts w:ascii="Bell MT" w:hAnsi="Bell MT"/>
          <w:b/>
          <w:color w:val="1F4E79"/>
          <w:sz w:val="24"/>
          <w:szCs w:val="24"/>
        </w:rPr>
        <w:t>Supplemental Q&amp;A with NADCO</w:t>
      </w:r>
    </w:p>
    <w:p w:rsidR="000B7BC1" w:rsidRPr="000B7BC1" w:rsidRDefault="000B7BC1" w:rsidP="000B7BC1">
      <w:pPr>
        <w:pStyle w:val="PlainText"/>
        <w:jc w:val="center"/>
        <w:rPr>
          <w:rFonts w:ascii="Bell MT" w:hAnsi="Bell MT"/>
          <w:b/>
          <w:color w:val="1F4E79"/>
          <w:sz w:val="24"/>
          <w:szCs w:val="24"/>
        </w:rPr>
      </w:pPr>
      <w:r>
        <w:rPr>
          <w:rFonts w:ascii="Bell MT" w:hAnsi="Bell MT"/>
          <w:b/>
          <w:color w:val="1F4E79"/>
          <w:sz w:val="24"/>
          <w:szCs w:val="24"/>
        </w:rPr>
        <w:t>Augu</w:t>
      </w:r>
      <w:bookmarkStart w:id="0" w:name="_GoBack"/>
      <w:bookmarkEnd w:id="0"/>
      <w:r>
        <w:rPr>
          <w:rFonts w:ascii="Bell MT" w:hAnsi="Bell MT"/>
          <w:b/>
          <w:color w:val="1F4E79"/>
          <w:sz w:val="24"/>
          <w:szCs w:val="24"/>
        </w:rPr>
        <w:t>st 11, 2021</w:t>
      </w:r>
    </w:p>
    <w:p w:rsidR="000B7BC1" w:rsidRDefault="000B7BC1" w:rsidP="000B7BC1">
      <w:pPr>
        <w:pStyle w:val="PlainText"/>
        <w:jc w:val="center"/>
        <w:rPr>
          <w:rFonts w:ascii="Bell MT" w:hAnsi="Bell MT"/>
          <w:color w:val="1F4E79"/>
        </w:rPr>
      </w:pPr>
    </w:p>
    <w:p w:rsidR="000B7BC1" w:rsidRDefault="000B7BC1" w:rsidP="000B7BC1">
      <w:pPr>
        <w:pStyle w:val="PlainText"/>
        <w:rPr>
          <w:rFonts w:ascii="Bell MT" w:hAnsi="Bell MT"/>
          <w:color w:val="1F4E79"/>
        </w:rPr>
      </w:pPr>
    </w:p>
    <w:p w:rsidR="000B7BC1" w:rsidRDefault="000B7BC1" w:rsidP="000B7BC1">
      <w:pPr>
        <w:pStyle w:val="PlainText"/>
        <w:rPr>
          <w:color w:val="000000"/>
        </w:rPr>
      </w:pPr>
      <w:r>
        <w:rPr>
          <w:rFonts w:ascii="Bell MT" w:hAnsi="Bell MT"/>
          <w:color w:val="1F4E79"/>
        </w:rPr>
        <w:t xml:space="preserve">-When requesting to refinance an existing SBA guarantee loan how is exposure handled? Do both the new loan and existing loan count towards 7a &amp; 504 caps at any point in time? </w:t>
      </w:r>
    </w:p>
    <w:p w:rsidR="000B7BC1" w:rsidRPr="000B7BC1" w:rsidRDefault="000B7BC1" w:rsidP="000B7BC1">
      <w:pPr>
        <w:pStyle w:val="PlainText"/>
        <w:rPr>
          <w:color w:val="000000" w:themeColor="text1"/>
        </w:rPr>
      </w:pPr>
      <w:r w:rsidRPr="000B7BC1">
        <w:rPr>
          <w:color w:val="000000" w:themeColor="text1"/>
        </w:rPr>
        <w:t>NADCO is w</w:t>
      </w:r>
      <w:r w:rsidRPr="000B7BC1">
        <w:rPr>
          <w:color w:val="000000" w:themeColor="text1"/>
        </w:rPr>
        <w:t xml:space="preserve">orking with SBA and </w:t>
      </w:r>
      <w:proofErr w:type="spellStart"/>
      <w:r w:rsidRPr="000B7BC1">
        <w:rPr>
          <w:color w:val="000000" w:themeColor="text1"/>
        </w:rPr>
        <w:t>Guidehouse</w:t>
      </w:r>
      <w:proofErr w:type="spellEnd"/>
      <w:r w:rsidRPr="000B7BC1">
        <w:rPr>
          <w:color w:val="000000" w:themeColor="text1"/>
        </w:rPr>
        <w:t xml:space="preserve"> right not on this issue.  We believe that both count, so conceivably a new 504 loan might kick out of ETRAN if the max SBA exposure is exceeded at approval/authorization.  We hope that SBA has some flex in their system since 7a lenders can experience this now.  Stay tuned.....</w:t>
      </w:r>
    </w:p>
    <w:p w:rsidR="000B7BC1" w:rsidRDefault="000B7BC1" w:rsidP="000B7BC1">
      <w:pPr>
        <w:pStyle w:val="PlainText"/>
      </w:pPr>
    </w:p>
    <w:p w:rsidR="000B7BC1" w:rsidRDefault="000B7BC1" w:rsidP="000B7BC1">
      <w:pPr>
        <w:pStyle w:val="PlainText"/>
        <w:rPr>
          <w:rFonts w:ascii="Bell MT" w:hAnsi="Bell MT"/>
          <w:color w:val="1F4E79"/>
        </w:rPr>
      </w:pPr>
      <w:r>
        <w:rPr>
          <w:rFonts w:ascii="Bell MT" w:hAnsi="Bell MT"/>
          <w:color w:val="1F4E79"/>
        </w:rPr>
        <w:t xml:space="preserve">-Confirming: For refinance of qualified debt made 6-24 months ago, how is market value of the property determined?  Is it cost or can appraisal be used for refi program? </w:t>
      </w:r>
    </w:p>
    <w:p w:rsidR="000B7BC1" w:rsidRPr="000B7BC1" w:rsidRDefault="000B7BC1" w:rsidP="000B7BC1">
      <w:pPr>
        <w:rPr>
          <w:color w:val="000000" w:themeColor="text1"/>
        </w:rPr>
      </w:pPr>
      <w:r w:rsidRPr="000B7BC1">
        <w:rPr>
          <w:color w:val="000000" w:themeColor="text1"/>
        </w:rPr>
        <w:t>Correct – I mentioned in our webinar that cost would still apply if less than 2 years, but SLPC overrode that in the FAQ #40 and Linda Reilly now says that current appraisal in all cases will be required.</w:t>
      </w:r>
    </w:p>
    <w:p w:rsidR="000B7BC1" w:rsidRDefault="000B7BC1" w:rsidP="000B7BC1"/>
    <w:p w:rsidR="000B7BC1" w:rsidRDefault="000B7BC1" w:rsidP="000B7BC1">
      <w:pPr>
        <w:rPr>
          <w:rFonts w:ascii="Bell MT" w:hAnsi="Bell MT"/>
          <w:color w:val="1F497D"/>
        </w:rPr>
      </w:pPr>
      <w:r>
        <w:rPr>
          <w:rFonts w:ascii="Bell MT" w:hAnsi="Bell MT"/>
          <w:color w:val="1F497D"/>
        </w:rPr>
        <w:t>-504 Refinance without expansion, with EBE, Special Use Property (assume no other existing Special Use 504 Debenture)</w:t>
      </w:r>
    </w:p>
    <w:p w:rsidR="000B7BC1" w:rsidRDefault="000B7BC1" w:rsidP="000B7BC1">
      <w:pPr>
        <w:rPr>
          <w:rFonts w:ascii="Bell MT" w:hAnsi="Bell MT"/>
        </w:rPr>
      </w:pPr>
      <w:r>
        <w:rPr>
          <w:rFonts w:ascii="Bell MT" w:hAnsi="Bell MT"/>
          <w:color w:val="1F497D"/>
        </w:rPr>
        <w:t>Max LTV is 85%, MAX EBE is 20% but can 504 debenture be up to 40%- or is it capped at 35%?</w:t>
      </w:r>
    </w:p>
    <w:p w:rsidR="000B7BC1" w:rsidRPr="000B7BC1" w:rsidRDefault="000B7BC1" w:rsidP="000B7BC1">
      <w:pPr>
        <w:rPr>
          <w:color w:val="000000" w:themeColor="text1"/>
        </w:rPr>
      </w:pPr>
      <w:r w:rsidRPr="000B7BC1">
        <w:rPr>
          <w:color w:val="000000" w:themeColor="text1"/>
        </w:rPr>
        <w:t>504 can never exceed the lesser of the TPL amount or 40%.  So in these cases, 45/40/15 will work.  In refi without expansion, bank is not required to be at 50%, and under current guidelines (during declared recession), special use does not require extra 5% down.</w:t>
      </w:r>
    </w:p>
    <w:p w:rsidR="000B7BC1" w:rsidRDefault="000B7BC1" w:rsidP="000B7BC1">
      <w:pPr>
        <w:rPr>
          <w:color w:val="FF0000"/>
        </w:rPr>
      </w:pPr>
    </w:p>
    <w:p w:rsidR="000B7BC1" w:rsidRDefault="000B7BC1" w:rsidP="000B7BC1">
      <w:pPr>
        <w:rPr>
          <w:rFonts w:ascii="Bell MT" w:hAnsi="Bell MT"/>
          <w:color w:val="1F497D"/>
        </w:rPr>
      </w:pPr>
      <w:r>
        <w:rPr>
          <w:rFonts w:ascii="Bell MT" w:hAnsi="Bell MT"/>
          <w:color w:val="002060"/>
        </w:rPr>
        <w:t>-Will</w:t>
      </w:r>
      <w:r>
        <w:rPr>
          <w:rFonts w:ascii="Bell MT" w:hAnsi="Bell MT"/>
          <w:color w:val="1F497D"/>
        </w:rPr>
        <w:t xml:space="preserve"> SBA require remaining useful life documentation for equipment refinance projects? Just want to be sure we are properly instructing equipment appraisers</w:t>
      </w:r>
    </w:p>
    <w:p w:rsidR="000B7BC1" w:rsidRDefault="000B7BC1" w:rsidP="000B7BC1">
      <w:pPr>
        <w:rPr>
          <w:color w:val="FF0000"/>
        </w:rPr>
      </w:pPr>
      <w:r w:rsidRPr="000B7BC1">
        <w:rPr>
          <w:color w:val="000000" w:themeColor="text1"/>
        </w:rPr>
        <w:t>Yes, you will need a used equipment appraisal and it will need to affirmative state remaining useful life.</w:t>
      </w:r>
    </w:p>
    <w:p w:rsidR="000B7BC1" w:rsidRDefault="000B7BC1" w:rsidP="000B7BC1"/>
    <w:p w:rsidR="000B7BC1" w:rsidRDefault="000B7BC1" w:rsidP="000B7BC1">
      <w:pPr>
        <w:rPr>
          <w:rFonts w:ascii="Bell MT" w:hAnsi="Bell MT"/>
          <w:color w:val="1F4E79"/>
        </w:rPr>
      </w:pPr>
      <w:r>
        <w:rPr>
          <w:rFonts w:ascii="Bell MT" w:hAnsi="Bell MT"/>
          <w:color w:val="1F4E79"/>
        </w:rPr>
        <w:t xml:space="preserve">-When refinancing a 7a with a new 7a, there was formerly a rule that you could not reduce your exposure. This would only apply for same lender refi, but wondering if that comes into play here too as a 504 refi with the same lender will definitely reduce their exposure.  </w:t>
      </w:r>
    </w:p>
    <w:p w:rsidR="000B7BC1" w:rsidRPr="000B7BC1" w:rsidRDefault="000B7BC1" w:rsidP="000B7BC1">
      <w:pPr>
        <w:rPr>
          <w:color w:val="000000" w:themeColor="text1"/>
        </w:rPr>
      </w:pPr>
      <w:r w:rsidRPr="000B7BC1">
        <w:rPr>
          <w:color w:val="000000" w:themeColor="text1"/>
        </w:rPr>
        <w:t>I have not heard SBA state this concern / requirement.</w:t>
      </w:r>
    </w:p>
    <w:p w:rsidR="000B7BC1" w:rsidRDefault="000B7BC1" w:rsidP="000B7BC1">
      <w:pPr>
        <w:rPr>
          <w:color w:val="1F497D"/>
        </w:rPr>
      </w:pPr>
    </w:p>
    <w:p w:rsidR="00A954E3" w:rsidRDefault="00A954E3"/>
    <w:sectPr w:rsidR="00A9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1"/>
    <w:rsid w:val="000B7BC1"/>
    <w:rsid w:val="00A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643F"/>
  <w15:chartTrackingRefBased/>
  <w15:docId w15:val="{DC61658F-4F58-4D58-8324-B7E9C4EF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B7BC1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7B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Monnett</dc:creator>
  <cp:keywords/>
  <dc:description/>
  <cp:lastModifiedBy>Jason Monnett</cp:lastModifiedBy>
  <cp:revision>1</cp:revision>
  <dcterms:created xsi:type="dcterms:W3CDTF">2021-08-17T19:12:00Z</dcterms:created>
  <dcterms:modified xsi:type="dcterms:W3CDTF">2021-08-17T19:14:00Z</dcterms:modified>
</cp:coreProperties>
</file>